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16029" w14:textId="77777777" w:rsidR="0074122C" w:rsidRDefault="00000000">
      <w:pPr>
        <w:spacing w:after="120"/>
      </w:pPr>
      <w:r>
        <w:rPr>
          <w:noProof/>
        </w:rPr>
        <w:drawing>
          <wp:inline distT="0" distB="0" distL="0" distR="0" wp14:anchorId="3FBFA8CF" wp14:editId="36BBD090">
            <wp:extent cx="2390775" cy="504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390775" cy="504825"/>
                    </a:xfrm>
                    <a:prstGeom prst="rect">
                      <a:avLst/>
                    </a:prstGeom>
                  </pic:spPr>
                </pic:pic>
              </a:graphicData>
            </a:graphic>
          </wp:inline>
        </w:drawing>
      </w:r>
    </w:p>
    <w:p w14:paraId="4952DC09" w14:textId="77777777" w:rsidR="0074122C" w:rsidRDefault="00000000">
      <w:r>
        <w:rPr>
          <w:rFonts w:ascii="Calibri" w:eastAsia="Calibri" w:hAnsi="Calibri" w:cs="Calibri"/>
          <w:b/>
          <w:bCs/>
          <w:color w:val="1E6A8D"/>
          <w:sz w:val="34"/>
          <w:szCs w:val="34"/>
        </w:rPr>
        <w:t>Director of School Facilities</w:t>
      </w:r>
    </w:p>
    <w:p w14:paraId="0AD028A1" w14:textId="77777777" w:rsidR="0074122C" w:rsidRDefault="00000000">
      <w:pPr>
        <w:spacing w:after="100"/>
      </w:pPr>
      <w:r>
        <w:rPr>
          <w:rFonts w:ascii="Calibri" w:eastAsia="Calibri" w:hAnsi="Calibri" w:cs="Calibri"/>
          <w:b/>
          <w:bCs/>
          <w:color w:val="689953"/>
          <w:sz w:val="22"/>
          <w:szCs w:val="22"/>
        </w:rPr>
        <w:t>Job Description</w:t>
      </w:r>
    </w:p>
    <w:p w14:paraId="6EB3566B" w14:textId="77777777" w:rsidR="0074122C" w:rsidRDefault="00000000">
      <w:pPr>
        <w:spacing w:after="60" w:line="264" w:lineRule="auto"/>
      </w:pPr>
      <w:r>
        <w:rPr>
          <w:rFonts w:ascii="Calibri" w:eastAsia="Calibri" w:hAnsi="Calibri" w:cs="Calibri"/>
        </w:rPr>
        <w:t>The Director of School Facilities provides comprehensive administrative, operational, and technical leadership over a school district's buildings, grounds, mechanical systems, custodial operations, safety and security, and capital improvement programming. Reporting to the Superintendent, the Director ensures that all physical environments across the district are safe, clean, code-compliant, and supportive of student learning, while exercising broad independent judgment in accordance with federal, state, and local law.</w:t>
      </w:r>
    </w:p>
    <w:p w14:paraId="71072DF8" w14:textId="77777777" w:rsidR="0074122C" w:rsidRDefault="00000000">
      <w:pPr>
        <w:pBdr>
          <w:bottom w:val="single" w:sz="6" w:space="2" w:color="689953"/>
        </w:pBdr>
        <w:spacing w:before="140" w:after="60"/>
      </w:pPr>
      <w:r>
        <w:rPr>
          <w:rFonts w:ascii="Calibri" w:eastAsia="Calibri" w:hAnsi="Calibri" w:cs="Calibri"/>
          <w:b/>
          <w:bCs/>
          <w:color w:val="1E6A8D"/>
          <w:sz w:val="23"/>
          <w:szCs w:val="23"/>
        </w:rPr>
        <w:t>Core Areas of Responsibility</w:t>
      </w:r>
    </w:p>
    <w:p w14:paraId="3B7B80E6" w14:textId="77777777" w:rsidR="0074122C" w:rsidRDefault="00000000">
      <w:pPr>
        <w:pStyle w:val="ListParagraph"/>
        <w:numPr>
          <w:ilvl w:val="0"/>
          <w:numId w:val="2"/>
        </w:numPr>
        <w:spacing w:after="40" w:line="259" w:lineRule="auto"/>
      </w:pPr>
      <w:r>
        <w:rPr>
          <w:rFonts w:ascii="Calibri" w:eastAsia="Calibri" w:hAnsi="Calibri" w:cs="Calibri"/>
          <w:b/>
          <w:bCs/>
          <w:color w:val="1E6A8D"/>
        </w:rPr>
        <w:t xml:space="preserve">Administrative Leadership: </w:t>
      </w:r>
      <w:r>
        <w:rPr>
          <w:rFonts w:ascii="Calibri" w:eastAsia="Calibri" w:hAnsi="Calibri" w:cs="Calibri"/>
        </w:rPr>
        <w:t>Sets department policy, reports to the Superintendent and Board, and oversees records and documentation systems.</w:t>
      </w:r>
    </w:p>
    <w:p w14:paraId="0C0CD080" w14:textId="77777777" w:rsidR="0074122C" w:rsidRDefault="00000000">
      <w:pPr>
        <w:pStyle w:val="ListParagraph"/>
        <w:numPr>
          <w:ilvl w:val="0"/>
          <w:numId w:val="2"/>
        </w:numPr>
        <w:spacing w:after="40" w:line="259" w:lineRule="auto"/>
      </w:pPr>
      <w:r>
        <w:rPr>
          <w:rFonts w:ascii="Calibri" w:eastAsia="Calibri" w:hAnsi="Calibri" w:cs="Calibri"/>
          <w:b/>
          <w:bCs/>
          <w:color w:val="1E6A8D"/>
        </w:rPr>
        <w:t xml:space="preserve">Personnel Management: </w:t>
      </w:r>
      <w:r>
        <w:rPr>
          <w:rFonts w:ascii="Calibri" w:eastAsia="Calibri" w:hAnsi="Calibri" w:cs="Calibri"/>
        </w:rPr>
        <w:t>Hires, trains, evaluates, and supervises all facilities staff, including subordinate supervisors.</w:t>
      </w:r>
    </w:p>
    <w:p w14:paraId="62A762EA" w14:textId="77777777" w:rsidR="0074122C" w:rsidRDefault="00000000">
      <w:pPr>
        <w:pStyle w:val="ListParagraph"/>
        <w:numPr>
          <w:ilvl w:val="0"/>
          <w:numId w:val="2"/>
        </w:numPr>
        <w:spacing w:after="40" w:line="259" w:lineRule="auto"/>
      </w:pPr>
      <w:r>
        <w:rPr>
          <w:rFonts w:ascii="Calibri" w:eastAsia="Calibri" w:hAnsi="Calibri" w:cs="Calibri"/>
          <w:b/>
          <w:bCs/>
          <w:color w:val="1E6A8D"/>
        </w:rPr>
        <w:t xml:space="preserve">Preventive Maintenance &amp; Operations: </w:t>
      </w:r>
      <w:r>
        <w:rPr>
          <w:rFonts w:ascii="Calibri" w:eastAsia="Calibri" w:hAnsi="Calibri" w:cs="Calibri"/>
        </w:rPr>
        <w:t>Runs a comprehensive maintenance program for buildings, grounds, and equipment; oversees custodial and grounds operations.</w:t>
      </w:r>
    </w:p>
    <w:p w14:paraId="4A8A8F7D" w14:textId="77777777" w:rsidR="0074122C" w:rsidRDefault="00000000">
      <w:pPr>
        <w:pStyle w:val="ListParagraph"/>
        <w:numPr>
          <w:ilvl w:val="0"/>
          <w:numId w:val="2"/>
        </w:numPr>
        <w:spacing w:after="40" w:line="259" w:lineRule="auto"/>
      </w:pPr>
      <w:r>
        <w:rPr>
          <w:rFonts w:ascii="Calibri" w:eastAsia="Calibri" w:hAnsi="Calibri" w:cs="Calibri"/>
          <w:b/>
          <w:bCs/>
          <w:color w:val="1E6A8D"/>
        </w:rPr>
        <w:t xml:space="preserve">Technical Systems: </w:t>
      </w:r>
      <w:r>
        <w:rPr>
          <w:rFonts w:ascii="Calibri" w:eastAsia="Calibri" w:hAnsi="Calibri" w:cs="Calibri"/>
        </w:rPr>
        <w:t>Maintains HVAC, plumbing, electrical, fire protection, and security systems; interprets architectural and engineering drawings.</w:t>
      </w:r>
    </w:p>
    <w:p w14:paraId="40AF7824" w14:textId="77777777" w:rsidR="0074122C" w:rsidRDefault="00000000">
      <w:pPr>
        <w:pStyle w:val="ListParagraph"/>
        <w:numPr>
          <w:ilvl w:val="0"/>
          <w:numId w:val="2"/>
        </w:numPr>
        <w:spacing w:after="40" w:line="259" w:lineRule="auto"/>
      </w:pPr>
      <w:r>
        <w:rPr>
          <w:rFonts w:ascii="Calibri" w:eastAsia="Calibri" w:hAnsi="Calibri" w:cs="Calibri"/>
          <w:b/>
          <w:bCs/>
          <w:color w:val="1E6A8D"/>
        </w:rPr>
        <w:t xml:space="preserve">Capital Projects: </w:t>
      </w:r>
      <w:r>
        <w:rPr>
          <w:rFonts w:ascii="Calibri" w:eastAsia="Calibri" w:hAnsi="Calibri" w:cs="Calibri"/>
        </w:rPr>
        <w:t>Partners with architects, engineers, and contractors on capital improvements from planning through completion.</w:t>
      </w:r>
    </w:p>
    <w:p w14:paraId="26A0CCBB" w14:textId="77777777" w:rsidR="0074122C" w:rsidRDefault="00000000">
      <w:pPr>
        <w:pStyle w:val="ListParagraph"/>
        <w:numPr>
          <w:ilvl w:val="0"/>
          <w:numId w:val="2"/>
        </w:numPr>
        <w:spacing w:after="40" w:line="259" w:lineRule="auto"/>
      </w:pPr>
      <w:r>
        <w:rPr>
          <w:rFonts w:ascii="Calibri" w:eastAsia="Calibri" w:hAnsi="Calibri" w:cs="Calibri"/>
          <w:b/>
          <w:bCs/>
          <w:color w:val="1E6A8D"/>
        </w:rPr>
        <w:t xml:space="preserve">Regulatory Compliance: </w:t>
      </w:r>
      <w:r>
        <w:rPr>
          <w:rFonts w:ascii="Calibri" w:eastAsia="Calibri" w:hAnsi="Calibri" w:cs="Calibri"/>
        </w:rPr>
        <w:t>Ensures compliance with SAVE Act, NFPA codes, FERPA, PESH, and other applicable regulations; manages required inspections and reporting.</w:t>
      </w:r>
    </w:p>
    <w:p w14:paraId="01DAD8A3" w14:textId="77777777" w:rsidR="0074122C" w:rsidRDefault="00000000">
      <w:pPr>
        <w:pStyle w:val="ListParagraph"/>
        <w:numPr>
          <w:ilvl w:val="0"/>
          <w:numId w:val="2"/>
        </w:numPr>
        <w:spacing w:after="40" w:line="259" w:lineRule="auto"/>
      </w:pPr>
      <w:r>
        <w:rPr>
          <w:rFonts w:ascii="Calibri" w:eastAsia="Calibri" w:hAnsi="Calibri" w:cs="Calibri"/>
          <w:b/>
          <w:bCs/>
          <w:color w:val="1E6A8D"/>
        </w:rPr>
        <w:t xml:space="preserve">Budget &amp; Financial Management: </w:t>
      </w:r>
      <w:r>
        <w:rPr>
          <w:rFonts w:ascii="Calibri" w:eastAsia="Calibri" w:hAnsi="Calibri" w:cs="Calibri"/>
        </w:rPr>
        <w:t>Develops and monitors the facilities budget, purchasing, and inventory control.</w:t>
      </w:r>
    </w:p>
    <w:p w14:paraId="43B58941" w14:textId="77777777" w:rsidR="0074122C" w:rsidRDefault="00000000">
      <w:pPr>
        <w:pBdr>
          <w:bottom w:val="single" w:sz="6" w:space="2" w:color="689953"/>
        </w:pBdr>
        <w:spacing w:before="140" w:after="60"/>
      </w:pPr>
      <w:r>
        <w:rPr>
          <w:rFonts w:ascii="Calibri" w:eastAsia="Calibri" w:hAnsi="Calibri" w:cs="Calibri"/>
          <w:b/>
          <w:bCs/>
          <w:color w:val="1E6A8D"/>
          <w:sz w:val="23"/>
          <w:szCs w:val="23"/>
        </w:rPr>
        <w:t>Key Knowledge &amp; Abilities</w:t>
      </w:r>
    </w:p>
    <w:p w14:paraId="265F6A9E" w14:textId="77777777" w:rsidR="0074122C" w:rsidRDefault="00000000">
      <w:pPr>
        <w:spacing w:after="60" w:line="264" w:lineRule="auto"/>
      </w:pPr>
      <w:r>
        <w:rPr>
          <w:rFonts w:ascii="Calibri" w:eastAsia="Calibri" w:hAnsi="Calibri" w:cs="Calibri"/>
        </w:rPr>
        <w:t>Thorough knowledge of school facilities operations, including but not limited to building codes, safety and security regulations, personnel supervision, and budgeting; ability to interpret architectural and engineering technical drawings and specifications, evaluate contractor work, communicate across diverse audiences, and manage emergencies with sound independent judgment. Mechanical aptitude and willingness to respond to facilities emergencies outside normal business hours are required. The position requires strong organizational, analytical, problem-solving, and leadership skills, as well as sufficient technical and mechanical knowledge to effectively oversee a diverse and highly specialized facilities operation.</w:t>
      </w:r>
    </w:p>
    <w:p w14:paraId="3589FE60" w14:textId="77777777" w:rsidR="0074122C" w:rsidRDefault="00000000">
      <w:pPr>
        <w:pBdr>
          <w:bottom w:val="single" w:sz="6" w:space="2" w:color="689953"/>
        </w:pBdr>
        <w:spacing w:before="140" w:after="60"/>
      </w:pPr>
      <w:r>
        <w:rPr>
          <w:rFonts w:ascii="Calibri" w:eastAsia="Calibri" w:hAnsi="Calibri" w:cs="Calibri"/>
          <w:b/>
          <w:bCs/>
          <w:color w:val="1E6A8D"/>
          <w:sz w:val="23"/>
          <w:szCs w:val="23"/>
        </w:rPr>
        <w:t>Value to the District</w:t>
      </w:r>
    </w:p>
    <w:p w14:paraId="09F06D96" w14:textId="77777777" w:rsidR="0074122C" w:rsidRDefault="00000000">
      <w:pPr>
        <w:pStyle w:val="ListParagraph"/>
        <w:numPr>
          <w:ilvl w:val="0"/>
          <w:numId w:val="2"/>
        </w:numPr>
        <w:spacing w:after="40" w:line="259" w:lineRule="auto"/>
      </w:pPr>
      <w:r>
        <w:rPr>
          <w:rFonts w:ascii="Calibri" w:eastAsia="Calibri" w:hAnsi="Calibri" w:cs="Calibri"/>
          <w:b/>
          <w:bCs/>
          <w:color w:val="1E6A8D"/>
        </w:rPr>
        <w:t xml:space="preserve">Healthy, Safe Learning Environments: </w:t>
      </w:r>
      <w:r>
        <w:rPr>
          <w:rFonts w:ascii="Calibri" w:eastAsia="Calibri" w:hAnsi="Calibri" w:cs="Calibri"/>
        </w:rPr>
        <w:t>Well-maintained facilities support student attendance, concentration, and academic outcomes, and reduce risk to students and staff.</w:t>
      </w:r>
    </w:p>
    <w:p w14:paraId="67A8DC9F" w14:textId="77777777" w:rsidR="0074122C" w:rsidRDefault="00000000">
      <w:pPr>
        <w:pStyle w:val="ListParagraph"/>
        <w:numPr>
          <w:ilvl w:val="0"/>
          <w:numId w:val="2"/>
        </w:numPr>
        <w:spacing w:after="40" w:line="259" w:lineRule="auto"/>
      </w:pPr>
      <w:r>
        <w:rPr>
          <w:rFonts w:ascii="Calibri" w:eastAsia="Calibri" w:hAnsi="Calibri" w:cs="Calibri"/>
          <w:b/>
          <w:bCs/>
          <w:color w:val="1E6A8D"/>
        </w:rPr>
        <w:t xml:space="preserve">Prudent Stewardship of Resources: </w:t>
      </w:r>
      <w:r>
        <w:rPr>
          <w:rFonts w:ascii="Calibri" w:eastAsia="Calibri" w:hAnsi="Calibri" w:cs="Calibri"/>
        </w:rPr>
        <w:t>Strategic, data-driven budgeting, energy management, lifecycle planning, competitive procurement, and effective resource allocation maximize the value of taxpayer dollars.</w:t>
      </w:r>
    </w:p>
    <w:p w14:paraId="5424A464" w14:textId="77777777" w:rsidR="0074122C" w:rsidRDefault="00000000">
      <w:pPr>
        <w:pStyle w:val="ListParagraph"/>
        <w:numPr>
          <w:ilvl w:val="0"/>
          <w:numId w:val="2"/>
        </w:numPr>
        <w:spacing w:after="40" w:line="259" w:lineRule="auto"/>
      </w:pPr>
      <w:r>
        <w:rPr>
          <w:rFonts w:ascii="Calibri" w:eastAsia="Calibri" w:hAnsi="Calibri" w:cs="Calibri"/>
          <w:b/>
          <w:bCs/>
          <w:color w:val="1E6A8D"/>
        </w:rPr>
        <w:t xml:space="preserve">Preventive Maintenance: </w:t>
      </w:r>
      <w:r>
        <w:rPr>
          <w:rFonts w:ascii="Calibri" w:eastAsia="Calibri" w:hAnsi="Calibri" w:cs="Calibri"/>
        </w:rPr>
        <w:t>Proactive system care protects the district's largest capital investment and minimizes costly emergency repairs, premature equipment replacement, and other operational disruptions.</w:t>
      </w:r>
    </w:p>
    <w:p w14:paraId="1CC367FF" w14:textId="77777777" w:rsidR="0074122C" w:rsidRDefault="00000000">
      <w:pPr>
        <w:pStyle w:val="ListParagraph"/>
        <w:numPr>
          <w:ilvl w:val="0"/>
          <w:numId w:val="2"/>
        </w:numPr>
        <w:spacing w:after="40" w:line="259" w:lineRule="auto"/>
      </w:pPr>
      <w:r>
        <w:rPr>
          <w:rFonts w:ascii="Calibri" w:eastAsia="Calibri" w:hAnsi="Calibri" w:cs="Calibri"/>
          <w:b/>
          <w:bCs/>
          <w:color w:val="1E6A8D"/>
        </w:rPr>
        <w:t xml:space="preserve">Regulatory Risk Reduction: </w:t>
      </w:r>
      <w:r>
        <w:rPr>
          <w:rFonts w:ascii="Calibri" w:eastAsia="Calibri" w:hAnsi="Calibri" w:cs="Calibri"/>
        </w:rPr>
        <w:t>Vigilant compliance limits the district's exposure to liability and preserves eligibility for state aid.</w:t>
      </w:r>
    </w:p>
    <w:p w14:paraId="0F79690C" w14:textId="77777777" w:rsidR="0074122C" w:rsidRDefault="00000000">
      <w:pPr>
        <w:pStyle w:val="ListParagraph"/>
        <w:numPr>
          <w:ilvl w:val="0"/>
          <w:numId w:val="2"/>
        </w:numPr>
        <w:spacing w:after="40" w:line="259" w:lineRule="auto"/>
      </w:pPr>
      <w:r>
        <w:rPr>
          <w:rFonts w:ascii="Calibri" w:eastAsia="Calibri" w:hAnsi="Calibri" w:cs="Calibri"/>
          <w:b/>
          <w:bCs/>
          <w:color w:val="1E6A8D"/>
        </w:rPr>
        <w:t xml:space="preserve">Community Confidence and Public Trust: </w:t>
      </w:r>
      <w:r>
        <w:rPr>
          <w:rFonts w:ascii="Calibri" w:eastAsia="Calibri" w:hAnsi="Calibri" w:cs="Calibri"/>
        </w:rPr>
        <w:t>Well-maintained schools demonstrate responsible stewardship of public resources, enhance the appearance and functionality of district facilities, build community confidence in district operations and future capital investments, and lead to successful budget and bond votes.</w:t>
      </w:r>
    </w:p>
    <w:sectPr w:rsidR="0074122C">
      <w:footerReference w:type="default" r:id="rId8"/>
      <w:pgSz w:w="12240" w:h="15840"/>
      <w:pgMar w:top="720" w:right="1080" w:bottom="900" w:left="1080" w:header="708"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59E59" w14:textId="77777777" w:rsidR="00D46086" w:rsidRDefault="00D46086">
      <w:r>
        <w:separator/>
      </w:r>
    </w:p>
  </w:endnote>
  <w:endnote w:type="continuationSeparator" w:id="0">
    <w:p w14:paraId="19C225BC" w14:textId="77777777" w:rsidR="00D46086" w:rsidRDefault="00D46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8A07B" w14:textId="77777777" w:rsidR="0074122C" w:rsidRDefault="00000000">
    <w:pPr>
      <w:pBdr>
        <w:top w:val="single" w:sz="6" w:space="4" w:color="689953"/>
      </w:pBdr>
      <w:jc w:val="center"/>
    </w:pPr>
    <w:proofErr w:type="gramStart"/>
    <w:r>
      <w:rPr>
        <w:rFonts w:ascii="Calibri" w:eastAsia="Calibri" w:hAnsi="Calibri" w:cs="Calibri"/>
        <w:color w:val="555555"/>
        <w:sz w:val="17"/>
        <w:szCs w:val="17"/>
      </w:rPr>
      <w:t>NYSSFA  |</w:t>
    </w:r>
    <w:proofErr w:type="gramEnd"/>
    <w:r>
      <w:rPr>
        <w:rFonts w:ascii="Calibri" w:eastAsia="Calibri" w:hAnsi="Calibri" w:cs="Calibri"/>
        <w:color w:val="555555"/>
        <w:sz w:val="17"/>
        <w:szCs w:val="17"/>
      </w:rPr>
      <w:t xml:space="preserve">  136 Everett Road, Suite 2, Albany, NY </w:t>
    </w:r>
    <w:proofErr w:type="gramStart"/>
    <w:r>
      <w:rPr>
        <w:rFonts w:ascii="Calibri" w:eastAsia="Calibri" w:hAnsi="Calibri" w:cs="Calibri"/>
        <w:color w:val="555555"/>
        <w:sz w:val="17"/>
        <w:szCs w:val="17"/>
      </w:rPr>
      <w:t>12205  |</w:t>
    </w:r>
    <w:proofErr w:type="gramEnd"/>
    <w:r>
      <w:rPr>
        <w:rFonts w:ascii="Calibri" w:eastAsia="Calibri" w:hAnsi="Calibri" w:cs="Calibri"/>
        <w:color w:val="555555"/>
        <w:sz w:val="17"/>
        <w:szCs w:val="17"/>
      </w:rPr>
      <w:t xml:space="preserve">  </w:t>
    </w:r>
    <w:hyperlink r:id="rId1" w:history="1">
      <w:r>
        <w:rPr>
          <w:rFonts w:ascii="Calibri" w:eastAsia="Calibri" w:hAnsi="Calibri" w:cs="Calibri"/>
          <w:b/>
          <w:bCs/>
          <w:color w:val="1E6A8D"/>
          <w:sz w:val="17"/>
          <w:szCs w:val="17"/>
        </w:rPr>
        <w:t>info@nyssfa.com</w:t>
      </w:r>
    </w:hyperlink>
    <w:r>
      <w:rPr>
        <w:rFonts w:ascii="Calibri" w:eastAsia="Calibri" w:hAnsi="Calibri" w:cs="Calibri"/>
        <w:color w:val="555555"/>
        <w:sz w:val="17"/>
        <w:szCs w:val="17"/>
      </w:rPr>
      <w:t xml:space="preserve">  |  </w:t>
    </w:r>
    <w:hyperlink r:id="rId2" w:history="1">
      <w:r>
        <w:rPr>
          <w:rFonts w:ascii="Calibri" w:eastAsia="Calibri" w:hAnsi="Calibri" w:cs="Calibri"/>
          <w:b/>
          <w:bCs/>
          <w:color w:val="1E6A8D"/>
          <w:sz w:val="17"/>
          <w:szCs w:val="17"/>
        </w:rPr>
        <w:t>nyssfa.org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FD9D6" w14:textId="77777777" w:rsidR="00D46086" w:rsidRDefault="00D46086">
      <w:r>
        <w:separator/>
      </w:r>
    </w:p>
  </w:footnote>
  <w:footnote w:type="continuationSeparator" w:id="0">
    <w:p w14:paraId="6230A99F" w14:textId="77777777" w:rsidR="00D46086" w:rsidRDefault="00D460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E07F9"/>
    <w:multiLevelType w:val="hybridMultilevel"/>
    <w:tmpl w:val="11B81BCA"/>
    <w:lvl w:ilvl="0" w:tplc="56CC4888">
      <w:start w:val="1"/>
      <w:numFmt w:val="bullet"/>
      <w:lvlText w:val="•"/>
      <w:lvlJc w:val="left"/>
      <w:pPr>
        <w:ind w:left="360" w:hanging="240"/>
      </w:pPr>
      <w:rPr>
        <w:color w:val="689953"/>
      </w:rPr>
    </w:lvl>
    <w:lvl w:ilvl="1" w:tplc="FEF80318">
      <w:numFmt w:val="decimal"/>
      <w:lvlText w:val=""/>
      <w:lvlJc w:val="left"/>
    </w:lvl>
    <w:lvl w:ilvl="2" w:tplc="29F2AD48">
      <w:numFmt w:val="decimal"/>
      <w:lvlText w:val=""/>
      <w:lvlJc w:val="left"/>
    </w:lvl>
    <w:lvl w:ilvl="3" w:tplc="466C2458">
      <w:numFmt w:val="decimal"/>
      <w:lvlText w:val=""/>
      <w:lvlJc w:val="left"/>
    </w:lvl>
    <w:lvl w:ilvl="4" w:tplc="B52E53B0">
      <w:numFmt w:val="decimal"/>
      <w:lvlText w:val=""/>
      <w:lvlJc w:val="left"/>
    </w:lvl>
    <w:lvl w:ilvl="5" w:tplc="1FAA20AA">
      <w:numFmt w:val="decimal"/>
      <w:lvlText w:val=""/>
      <w:lvlJc w:val="left"/>
    </w:lvl>
    <w:lvl w:ilvl="6" w:tplc="7F3C89A6">
      <w:numFmt w:val="decimal"/>
      <w:lvlText w:val=""/>
      <w:lvlJc w:val="left"/>
    </w:lvl>
    <w:lvl w:ilvl="7" w:tplc="17AC830C">
      <w:numFmt w:val="decimal"/>
      <w:lvlText w:val=""/>
      <w:lvlJc w:val="left"/>
    </w:lvl>
    <w:lvl w:ilvl="8" w:tplc="D7627DF8">
      <w:numFmt w:val="decimal"/>
      <w:lvlText w:val=""/>
      <w:lvlJc w:val="left"/>
    </w:lvl>
  </w:abstractNum>
  <w:abstractNum w:abstractNumId="1" w15:restartNumberingAfterBreak="0">
    <w:nsid w:val="73D913AF"/>
    <w:multiLevelType w:val="hybridMultilevel"/>
    <w:tmpl w:val="A1FCC068"/>
    <w:lvl w:ilvl="0" w:tplc="D94CEB56">
      <w:start w:val="1"/>
      <w:numFmt w:val="bullet"/>
      <w:lvlText w:val="●"/>
      <w:lvlJc w:val="left"/>
      <w:pPr>
        <w:ind w:left="720" w:hanging="360"/>
      </w:pPr>
    </w:lvl>
    <w:lvl w:ilvl="1" w:tplc="BF0CDDF2">
      <w:start w:val="1"/>
      <w:numFmt w:val="bullet"/>
      <w:lvlText w:val="○"/>
      <w:lvlJc w:val="left"/>
      <w:pPr>
        <w:ind w:left="1440" w:hanging="360"/>
      </w:pPr>
    </w:lvl>
    <w:lvl w:ilvl="2" w:tplc="1ADE0696">
      <w:start w:val="1"/>
      <w:numFmt w:val="bullet"/>
      <w:lvlText w:val="■"/>
      <w:lvlJc w:val="left"/>
      <w:pPr>
        <w:ind w:left="2160" w:hanging="360"/>
      </w:pPr>
    </w:lvl>
    <w:lvl w:ilvl="3" w:tplc="1F069C6A">
      <w:start w:val="1"/>
      <w:numFmt w:val="bullet"/>
      <w:lvlText w:val="●"/>
      <w:lvlJc w:val="left"/>
      <w:pPr>
        <w:ind w:left="2880" w:hanging="360"/>
      </w:pPr>
    </w:lvl>
    <w:lvl w:ilvl="4" w:tplc="17683472">
      <w:start w:val="1"/>
      <w:numFmt w:val="bullet"/>
      <w:lvlText w:val="○"/>
      <w:lvlJc w:val="left"/>
      <w:pPr>
        <w:ind w:left="3600" w:hanging="360"/>
      </w:pPr>
    </w:lvl>
    <w:lvl w:ilvl="5" w:tplc="65EEEC88">
      <w:start w:val="1"/>
      <w:numFmt w:val="bullet"/>
      <w:lvlText w:val="■"/>
      <w:lvlJc w:val="left"/>
      <w:pPr>
        <w:ind w:left="4320" w:hanging="360"/>
      </w:pPr>
    </w:lvl>
    <w:lvl w:ilvl="6" w:tplc="B4187228">
      <w:start w:val="1"/>
      <w:numFmt w:val="bullet"/>
      <w:lvlText w:val="●"/>
      <w:lvlJc w:val="left"/>
      <w:pPr>
        <w:ind w:left="5040" w:hanging="360"/>
      </w:pPr>
    </w:lvl>
    <w:lvl w:ilvl="7" w:tplc="D4F6771A">
      <w:start w:val="1"/>
      <w:numFmt w:val="bullet"/>
      <w:lvlText w:val="●"/>
      <w:lvlJc w:val="left"/>
      <w:pPr>
        <w:ind w:left="5760" w:hanging="360"/>
      </w:pPr>
    </w:lvl>
    <w:lvl w:ilvl="8" w:tplc="A46A08DC">
      <w:start w:val="1"/>
      <w:numFmt w:val="bullet"/>
      <w:lvlText w:val="●"/>
      <w:lvlJc w:val="left"/>
      <w:pPr>
        <w:ind w:left="6480" w:hanging="360"/>
      </w:pPr>
    </w:lvl>
  </w:abstractNum>
  <w:num w:numId="1" w16cid:durableId="499278014">
    <w:abstractNumId w:val="1"/>
    <w:lvlOverride w:ilvl="0">
      <w:startOverride w:val="1"/>
    </w:lvlOverride>
  </w:num>
  <w:num w:numId="2" w16cid:durableId="28843483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22C"/>
    <w:rsid w:val="00086A19"/>
    <w:rsid w:val="001A1EA6"/>
    <w:rsid w:val="0074122C"/>
    <w:rsid w:val="00D46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227D6"/>
  <w15:docId w15:val="{BA62AF38-A125-483E-A435-0655F812A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nyssfa.org" TargetMode="External"/><Relationship Id="rId1" Type="http://schemas.openxmlformats.org/officeDocument/2006/relationships/hyperlink" Target="mailto:info@nyssf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502</Words>
  <Characters>2866</Characters>
  <Application>Microsoft Office Word</Application>
  <DocSecurity>0</DocSecurity>
  <Lines>23</Lines>
  <Paragraphs>6</Paragraphs>
  <ScaleCrop>false</ScaleCrop>
  <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Kathleen Van De Loo</cp:lastModifiedBy>
  <cp:revision>2</cp:revision>
  <dcterms:created xsi:type="dcterms:W3CDTF">2026-09-27T13:46:00Z</dcterms:created>
  <dcterms:modified xsi:type="dcterms:W3CDTF">2026-09-27T13:46:00Z</dcterms:modified>
</cp:coreProperties>
</file>